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9A588" w14:textId="77777777" w:rsidR="00BA37D5" w:rsidRPr="00BA37D5" w:rsidRDefault="00BA37D5" w:rsidP="00BA37D5">
      <w:pPr>
        <w:spacing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1C2024"/>
          <w:sz w:val="36"/>
          <w:szCs w:val="36"/>
          <w:lang w:eastAsia="it-IT"/>
        </w:rPr>
      </w:pPr>
      <w:r w:rsidRPr="00BA37D5">
        <w:rPr>
          <w:rFonts w:ascii="Helvetica" w:eastAsia="Times New Roman" w:hAnsi="Helvetica" w:cs="Times New Roman"/>
          <w:b/>
          <w:bCs/>
          <w:color w:val="1C2024"/>
          <w:sz w:val="36"/>
          <w:szCs w:val="36"/>
          <w:lang w:eastAsia="it-IT"/>
        </w:rPr>
        <w:t>PagoPA</w:t>
      </w:r>
    </w:p>
    <w:p w14:paraId="73403A41" w14:textId="3FA64D6F" w:rsidR="00BA37D5" w:rsidRPr="00BA37D5" w:rsidRDefault="00BA37D5" w:rsidP="004B7A73">
      <w:pPr>
        <w:spacing w:after="100" w:afterAutospacing="1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PagoPA: il sistema che rende i pagamenti verso la Pubblica Amministrazione</w:t>
      </w:r>
      <w:r w:rsidR="004B7A73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più semplici, sicuri e trasparenti.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br/>
        <w:t>PagoPA è adottato obbligatoriamente da tutte le Pubbliche Amministrazioni e da un numero crescente di Banche e di istituti di pagamento. </w:t>
      </w:r>
    </w:p>
    <w:p w14:paraId="0207C661" w14:textId="77777777" w:rsidR="00BA37D5" w:rsidRPr="00BA37D5" w:rsidRDefault="00BA37D5" w:rsidP="00BA37D5">
      <w:pPr>
        <w:spacing w:after="0" w:line="240" w:lineRule="auto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noProof/>
          <w:color w:val="1C2024"/>
          <w:sz w:val="27"/>
          <w:szCs w:val="27"/>
          <w:lang w:eastAsia="it-IT"/>
        </w:rPr>
        <w:drawing>
          <wp:inline distT="0" distB="0" distL="0" distR="0" wp14:anchorId="1416C0A2" wp14:editId="47E8C39E">
            <wp:extent cx="1905000" cy="1905000"/>
            <wp:effectExtent l="0" t="0" r="0" b="0"/>
            <wp:docPr id="1" name="Immagine 1" descr="https://www.comune.sanlorenzodorsino.tn.it/var/sanlorenzodorsino/storage/images/comune/comunicazione/avvisi/pagopa/136130-7-ita-IT/PagoPA_image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omune.sanlorenzodorsino.tn.it/var/sanlorenzodorsino/storage/images/comune/comunicazione/avvisi/pagopa/136130-7-ita-IT/PagoPA_imagefu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226F7" w14:textId="77777777" w:rsidR="00BA37D5" w:rsidRPr="00BA37D5" w:rsidRDefault="00BA37D5" w:rsidP="004B7A73">
      <w:pPr>
        <w:spacing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PagoPA nasce per:</w:t>
      </w:r>
    </w:p>
    <w:p w14:paraId="0DADC6A0" w14:textId="77777777" w:rsidR="00BA37D5" w:rsidRPr="00BA37D5" w:rsidRDefault="00BA37D5" w:rsidP="004B7A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incrementare l’uso di modalità elettroniche di pagamento a livello di sistema Paese;</w:t>
      </w:r>
    </w:p>
    <w:p w14:paraId="5EA99A1A" w14:textId="77777777" w:rsidR="00BA37D5" w:rsidRPr="00BA37D5" w:rsidRDefault="00BA37D5" w:rsidP="004B7A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rendere il cittadino libero di scegliere come pagare, dando evidenza dei costi di commissione;</w:t>
      </w:r>
    </w:p>
    <w:p w14:paraId="2B89B735" w14:textId="77777777" w:rsidR="00BA37D5" w:rsidRPr="00BA37D5" w:rsidRDefault="00BA37D5" w:rsidP="004B7A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ridurre i costi di gestione degli incassi per gli Enti Creditori;</w:t>
      </w:r>
    </w:p>
    <w:p w14:paraId="5D4624F9" w14:textId="77777777" w:rsidR="00BA37D5" w:rsidRPr="00BA37D5" w:rsidRDefault="00BA37D5" w:rsidP="004B7A7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standardizzare a livello nazionale le modalità elettroniche di pagamento verso gli Enti Creditori.</w:t>
      </w:r>
    </w:p>
    <w:p w14:paraId="6705518D" w14:textId="77777777" w:rsidR="00BA37D5" w:rsidRPr="00BA37D5" w:rsidRDefault="00BA37D5" w:rsidP="004B7A73">
      <w:pPr>
        <w:spacing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Ci sono due modalità previste per il pagamento:</w:t>
      </w:r>
    </w:p>
    <w:p w14:paraId="52167A0B" w14:textId="77777777" w:rsidR="00BA37D5" w:rsidRPr="00BA37D5" w:rsidRDefault="00BA37D5" w:rsidP="004B7A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con </w:t>
      </w: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Avviso di pagamento pagoPA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: da usare per effettuare un pagamento per il quale si è ricevuta un’apposita comunicazione dall’Amministrazione.</w:t>
      </w:r>
    </w:p>
    <w:p w14:paraId="4354E072" w14:textId="77777777" w:rsidR="00BA37D5" w:rsidRPr="00BA37D5" w:rsidRDefault="00BA37D5" w:rsidP="004B7A7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mediante </w:t>
      </w: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Pagamenti spontanei pagoPA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: da usare nel caso si debba effettuare un pagamento dovuto per la presentazione di una richiesta/istanza all’Amministrazione.</w:t>
      </w:r>
    </w:p>
    <w:p w14:paraId="2A335732" w14:textId="77777777" w:rsidR="00BA37D5" w:rsidRPr="00BA37D5" w:rsidRDefault="00BA37D5" w:rsidP="004B7A73">
      <w:pPr>
        <w:spacing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 xml:space="preserve">NB: Dal momento di piena operatività delle modalità di pagamento pagoPa segnalate </w:t>
      </w:r>
      <w:r w:rsidRPr="00DD7BF5">
        <w:rPr>
          <w:rFonts w:ascii="Helvetica" w:eastAsia="Times New Roman" w:hAnsi="Helvetica" w:cs="Times New Roman"/>
          <w:b/>
          <w:bCs/>
          <w:color w:val="1C2024"/>
          <w:sz w:val="27"/>
          <w:szCs w:val="27"/>
          <w:u w:val="single"/>
          <w:lang w:eastAsia="it-IT"/>
        </w:rPr>
        <w:t>non sarà più possibile effettuare pagamenti con bonifico bancario</w:t>
      </w: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 xml:space="preserve"> sul conto corrente di Tesoreria.</w:t>
      </w:r>
    </w:p>
    <w:p w14:paraId="0EA4F494" w14:textId="77777777" w:rsidR="00BA37D5" w:rsidRPr="00BA37D5" w:rsidRDefault="00BA37D5" w:rsidP="004B7A73">
      <w:pPr>
        <w:spacing w:after="100" w:afterAutospacing="1" w:line="240" w:lineRule="auto"/>
        <w:jc w:val="both"/>
        <w:outlineLvl w:val="1"/>
        <w:rPr>
          <w:rFonts w:ascii="Helvetica" w:eastAsia="Times New Roman" w:hAnsi="Helvetica" w:cs="Times New Roman"/>
          <w:b/>
          <w:bCs/>
          <w:color w:val="1C2024"/>
          <w:sz w:val="36"/>
          <w:szCs w:val="36"/>
          <w:lang w:eastAsia="it-IT"/>
        </w:rPr>
      </w:pPr>
      <w:r w:rsidRPr="00BA37D5">
        <w:rPr>
          <w:rFonts w:ascii="Helvetica" w:eastAsia="Times New Roman" w:hAnsi="Helvetica" w:cs="Times New Roman"/>
          <w:b/>
          <w:bCs/>
          <w:color w:val="1C2024"/>
          <w:sz w:val="36"/>
          <w:szCs w:val="36"/>
          <w:lang w:eastAsia="it-IT"/>
        </w:rPr>
        <w:t>COME PAGARE UN AVVISO PAGO PA (Istruzioni per il cittadino che riceve un avviso pagoPA)</w:t>
      </w:r>
    </w:p>
    <w:p w14:paraId="4196DAA4" w14:textId="77777777" w:rsidR="009D438D" w:rsidRDefault="00BA37D5" w:rsidP="004B7A73">
      <w:pPr>
        <w:spacing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Si può scegliere fra diverse modalità di pagamento online o in modalità tradizionale cartacea recandosi in uno sportello fisico (ricevitorie, sportelli bancari...).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br/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lastRenderedPageBreak/>
        <w:t>Se si riceve un </w:t>
      </w: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Avviso pagoPA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, è possibile pagare online o in modalità tradizionale cartacea tributi, tasse, utenze, rette, quote associative, bolli e qualsiasi altro tipo di pagamento verso le pubbliche amministrazioni centrali e locali, ma anche verso altri soggetti, come le aziende a partecipazione pubblica, le scuole, le università, le aziende sanitarie.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br/>
      </w:r>
    </w:p>
    <w:p w14:paraId="69479C51" w14:textId="748C333E" w:rsidR="00BA37D5" w:rsidRPr="00BA37D5" w:rsidRDefault="00BA37D5" w:rsidP="004B7A73">
      <w:pPr>
        <w:spacing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Il </w:t>
      </w: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pagamento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 può avvenire:</w:t>
      </w:r>
    </w:p>
    <w:p w14:paraId="7B44C55C" w14:textId="77777777" w:rsidR="00BA37D5" w:rsidRPr="00BA37D5" w:rsidRDefault="00BA37D5" w:rsidP="004B7A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sul sito web </w:t>
      </w:r>
      <w:hyperlink r:id="rId6" w:history="1">
        <w:r w:rsidRPr="00C750E2">
          <w:rPr>
            <w:rStyle w:val="Collegamentoipertestuale"/>
            <w:rFonts w:ascii="Helvetica" w:eastAsia="Times New Roman" w:hAnsi="Helvetica" w:cs="Times New Roman"/>
            <w:sz w:val="27"/>
            <w:szCs w:val="27"/>
            <w:lang w:eastAsia="it-IT"/>
          </w:rPr>
          <w:t>https://mypay.provincia.tn.it/pa/home.html</w:t>
        </w:r>
      </w:hyperlink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accedendo alla sezione “Avviso </w:t>
      </w:r>
      <w:r w:rsidR="001F222C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di pagamento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” e inserendo il Codice Avviso presente sul modulo. È possibile scegliere tra gli strumenti di pagamento disponibili:</w:t>
      </w:r>
    </w:p>
    <w:p w14:paraId="185456E1" w14:textId="77777777" w:rsidR="00BA37D5" w:rsidRPr="00BA37D5" w:rsidRDefault="00BA37D5" w:rsidP="004B7A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Carta di credito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/</w:t>
      </w: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debito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 sui principali circuiti (Visa, MasterCard, etc.);</w:t>
      </w:r>
    </w:p>
    <w:p w14:paraId="7695C456" w14:textId="77777777" w:rsidR="00BA37D5" w:rsidRPr="00BA37D5" w:rsidRDefault="00BA37D5" w:rsidP="004B7A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Altri metodi di pagamento 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con</w:t>
      </w: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 PayPal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, </w:t>
      </w: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SatisPay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 se si dispone di un relativo account, </w:t>
      </w: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iConto, </w:t>
      </w:r>
      <w:proofErr w:type="gramStart"/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ecc..</w:t>
      </w:r>
      <w:proofErr w:type="gramEnd"/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;</w:t>
      </w:r>
    </w:p>
    <w:p w14:paraId="6A9A05D6" w14:textId="77777777" w:rsidR="00BA37D5" w:rsidRPr="00BA37D5" w:rsidRDefault="00BA37D5" w:rsidP="004B7A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presso le </w:t>
      </w: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banche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 e gli altri prestatori di servizio di pagamento (PSP) aderenti all’iniziativa tramite gli altri canali da questi messi a disposizione (come ad esempio: sportello fisico, ATM, Mobile banking, Phone banking).</w:t>
      </w:r>
    </w:p>
    <w:p w14:paraId="31DEC07B" w14:textId="77777777" w:rsidR="00BA37D5" w:rsidRPr="00BA37D5" w:rsidRDefault="00BA37D5" w:rsidP="004B7A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sulla propria </w:t>
      </w: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home banking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 dove sono presenti i loghi CBILL o PagoPA, ricercando il Comune di San Lorenzo Dorsino per nome o tramite il codice CBILL </w:t>
      </w: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BXDGM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 nell’elenco delle Aziende e riportando il Codice Avviso e l’importo presenti sul Modulo di pagamento.</w:t>
      </w:r>
    </w:p>
    <w:p w14:paraId="498AEB13" w14:textId="77777777" w:rsidR="00BA37D5" w:rsidRPr="00BA37D5" w:rsidRDefault="00BA37D5" w:rsidP="004B7A7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presso le </w:t>
      </w: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tabaccherie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 che espongono il logo PagoPA (punti vendita SisalPay, Lottomatica, PayTipper, </w:t>
      </w:r>
      <w:proofErr w:type="gramStart"/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ecc..</w:t>
      </w:r>
      <w:proofErr w:type="gramEnd"/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)</w:t>
      </w:r>
    </w:p>
    <w:p w14:paraId="7169212D" w14:textId="77777777" w:rsidR="00BA37D5" w:rsidRPr="00BA37D5" w:rsidRDefault="00BA37D5" w:rsidP="004B7A73">
      <w:pPr>
        <w:spacing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NB. Banche, circuiti di credito e App - chiamati PSP (</w:t>
      </w:r>
      <w:r w:rsidRPr="00BA37D5">
        <w:rPr>
          <w:rFonts w:ascii="Helvetica" w:eastAsia="Times New Roman" w:hAnsi="Helvetica" w:cs="Times New Roman"/>
          <w:i/>
          <w:iCs/>
          <w:color w:val="1C2024"/>
          <w:sz w:val="27"/>
          <w:szCs w:val="27"/>
          <w:lang w:eastAsia="it-IT"/>
        </w:rPr>
        <w:t>prestatori di servizi di pagamento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) - aderiscono al sistema pagoPA su base volontaria decidendo quanti e quali modalità di pagamento rendere disponibili e fissando autonomamente le eventuali </w:t>
      </w: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commissioni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 correlate. Le commissioni fra PSP diversi possono variare in modo sensibile, pertanto è importante, al momento del pagamento, scegliere il PSP più comodo e conveniente al proprio caso.</w:t>
      </w:r>
    </w:p>
    <w:p w14:paraId="692A9D0D" w14:textId="77777777" w:rsidR="00BA37D5" w:rsidRPr="00BA37D5" w:rsidRDefault="00BA37D5" w:rsidP="00BA37D5">
      <w:pPr>
        <w:spacing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1C2024"/>
          <w:sz w:val="36"/>
          <w:szCs w:val="36"/>
          <w:lang w:eastAsia="it-IT"/>
        </w:rPr>
      </w:pPr>
      <w:r w:rsidRPr="00BA37D5">
        <w:rPr>
          <w:rFonts w:ascii="Helvetica" w:eastAsia="Times New Roman" w:hAnsi="Helvetica" w:cs="Times New Roman"/>
          <w:b/>
          <w:bCs/>
          <w:color w:val="1C2024"/>
          <w:sz w:val="36"/>
          <w:szCs w:val="36"/>
          <w:lang w:eastAsia="it-IT"/>
        </w:rPr>
        <w:t>COME PAGARE I PAGAMENTI SPONTANEI PAGOPA</w:t>
      </w:r>
    </w:p>
    <w:p w14:paraId="22D7F688" w14:textId="24BBAB9A" w:rsidR="00BA37D5" w:rsidRPr="00BA37D5" w:rsidRDefault="00BA37D5" w:rsidP="001F222C">
      <w:pPr>
        <w:spacing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Istruzioni per il cittadino per effettuare i </w:t>
      </w: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pagamenti spontanei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.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br/>
        <w:t>I pagamenti spontanei permettono di effettuare versamenti direttamente al Comune per determinati servizi attivabili su richiesta del cittadino (ad es. iscrizione concorsi pubblici, Scia, certificato di destinazione urbanistica…). 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br/>
        <w:t>Per i servizi del Comune per i quali è richiesto un </w:t>
      </w: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pagamento spontaneo pagoPA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, è necessario accedere al Portale dei Pagamenti del Comune di </w:t>
      </w:r>
      <w:r w:rsidR="00EA722B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Bleggio Superiore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raggiungibile dall’Home Page del Comune nella sezione PagoPA oppure direttamente alla pagina web </w:t>
      </w:r>
      <w:hyperlink r:id="rId7" w:history="1">
        <w:r w:rsidRPr="00C750E2">
          <w:rPr>
            <w:rStyle w:val="Collegamentoipertestuale"/>
            <w:rFonts w:ascii="Helvetica" w:eastAsia="Times New Roman" w:hAnsi="Helvetica" w:cs="Times New Roman"/>
            <w:sz w:val="27"/>
            <w:szCs w:val="27"/>
            <w:lang w:eastAsia="it-IT"/>
          </w:rPr>
          <w:t>https://mypay.provincia.tn.it/pa/home.html</w:t>
        </w:r>
      </w:hyperlink>
      <w:r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 xml:space="preserve"> 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accedendo alla sezione “</w:t>
      </w:r>
      <w:r w:rsidR="001F222C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Altre tipologie di pagamento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” e selezionando il servizio richiesto.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br/>
      </w:r>
    </w:p>
    <w:p w14:paraId="52198E15" w14:textId="77777777" w:rsidR="00BA37D5" w:rsidRPr="00BA37D5" w:rsidRDefault="00BA37D5" w:rsidP="00BA37D5">
      <w:pPr>
        <w:spacing w:after="100" w:afterAutospacing="1" w:line="240" w:lineRule="auto"/>
        <w:jc w:val="both"/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</w:pP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lastRenderedPageBreak/>
        <w:t>NB. Banche, circuiti di credito e App - chiamati PSP (</w:t>
      </w:r>
      <w:r w:rsidRPr="00BA37D5">
        <w:rPr>
          <w:rFonts w:ascii="Helvetica" w:eastAsia="Times New Roman" w:hAnsi="Helvetica" w:cs="Times New Roman"/>
          <w:i/>
          <w:iCs/>
          <w:color w:val="1C2024"/>
          <w:sz w:val="27"/>
          <w:szCs w:val="27"/>
          <w:lang w:eastAsia="it-IT"/>
        </w:rPr>
        <w:t>prestatori di servizi di pagamento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) - aderiscono al sistema pagoPA su base volontaria decidendo quanti e quali modalità di pagamento rendere disponibili e fissando autonomamente le eventuali </w:t>
      </w:r>
      <w:r w:rsidRPr="00BA37D5">
        <w:rPr>
          <w:rFonts w:ascii="Helvetica" w:eastAsia="Times New Roman" w:hAnsi="Helvetica" w:cs="Times New Roman"/>
          <w:b/>
          <w:bCs/>
          <w:color w:val="1C2024"/>
          <w:sz w:val="27"/>
          <w:szCs w:val="27"/>
          <w:lang w:eastAsia="it-IT"/>
        </w:rPr>
        <w:t>commissioni</w:t>
      </w:r>
      <w:r w:rsidRPr="00BA37D5">
        <w:rPr>
          <w:rFonts w:ascii="Helvetica" w:eastAsia="Times New Roman" w:hAnsi="Helvetica" w:cs="Times New Roman"/>
          <w:color w:val="1C2024"/>
          <w:sz w:val="27"/>
          <w:szCs w:val="27"/>
          <w:lang w:eastAsia="it-IT"/>
        </w:rPr>
        <w:t> correlate. Le commissioni fra PSP diversi possono variare in modo sensibile, pertanto è importante, al momento del pagamento, scegliere il PSP più comodo e conveniente al proprio caso.</w:t>
      </w:r>
    </w:p>
    <w:p w14:paraId="396C8AD4" w14:textId="77777777" w:rsidR="0002407F" w:rsidRDefault="0002407F"/>
    <w:sectPr w:rsidR="000240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F25683"/>
    <w:multiLevelType w:val="multilevel"/>
    <w:tmpl w:val="2E721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511007"/>
    <w:multiLevelType w:val="multilevel"/>
    <w:tmpl w:val="0E3A2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22636"/>
    <w:multiLevelType w:val="multilevel"/>
    <w:tmpl w:val="26144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D4BCC"/>
    <w:multiLevelType w:val="multilevel"/>
    <w:tmpl w:val="0EFE68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3464EE"/>
    <w:multiLevelType w:val="multilevel"/>
    <w:tmpl w:val="8F5C2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7D5"/>
    <w:rsid w:val="0002407F"/>
    <w:rsid w:val="00024E61"/>
    <w:rsid w:val="001F222C"/>
    <w:rsid w:val="004B7A73"/>
    <w:rsid w:val="007D421C"/>
    <w:rsid w:val="009303EC"/>
    <w:rsid w:val="009D438D"/>
    <w:rsid w:val="00A02E15"/>
    <w:rsid w:val="00BA37D5"/>
    <w:rsid w:val="00DD7BF5"/>
    <w:rsid w:val="00EA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2745"/>
  <w15:docId w15:val="{5CAB75DB-39DA-497D-B822-987ABAE7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3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37D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A3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8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pay.provincia.tn.it/pa/hom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pay.provincia.tn.it/pa/home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Bosetti</dc:creator>
  <cp:lastModifiedBy>Damiano Reversi</cp:lastModifiedBy>
  <cp:revision>5</cp:revision>
  <dcterms:created xsi:type="dcterms:W3CDTF">2021-03-10T15:21:00Z</dcterms:created>
  <dcterms:modified xsi:type="dcterms:W3CDTF">2021-03-11T07:26:00Z</dcterms:modified>
</cp:coreProperties>
</file>